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91" w:rsidRDefault="001E0491" w:rsidP="001E0491">
      <w:pPr>
        <w:pStyle w:val="a5"/>
        <w:shd w:val="clear" w:color="auto" w:fill="FFFFFF"/>
        <w:spacing w:line="402" w:lineRule="atLeast"/>
        <w:ind w:firstLine="502"/>
        <w:jc w:val="center"/>
        <w:textAlignment w:val="top"/>
        <w:rPr>
          <w:color w:val="4D4D4D"/>
          <w:sz w:val="23"/>
          <w:szCs w:val="23"/>
        </w:rPr>
      </w:pPr>
      <w:r>
        <w:rPr>
          <w:color w:val="4D4D4D"/>
          <w:sz w:val="32"/>
          <w:szCs w:val="32"/>
        </w:rPr>
        <w:t>机械类专业</w:t>
      </w:r>
      <w:r>
        <w:rPr>
          <w:rFonts w:hint="eastAsia"/>
          <w:color w:val="4D4D4D"/>
          <w:sz w:val="32"/>
          <w:szCs w:val="32"/>
        </w:rPr>
        <w:t>补充标准</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本补充标准适用于机械类专业，主要包括机械工程专业、机械设计制造及其自动化专业、材料成型及控制工程专业、机械电子工程专业、过程装备与控制工程专业、车辆工程专业、汽车服务工程专业等。</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1．课程体系</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由各学校根据自身办学定位、人才培养目标和办学特色自主设置课程体系。本专业补充标准只对数学与自然科学类、工程基础类、专业基础类、专业类、实践环节、毕业设计（论文）六类课程提出基本要求。</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1.1 数学与自然科学类课程</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数学类包括线性代数、微积分、微分方程、概率和数理统计、计算方法等知识领域，自然科学类科目包括物理、化学等知识领域。</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1.2 工程基础类课程</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工程基础类的科目以数学与自然科学为基础，培养学生应用数学或数值方法，发现并解决实际工程问题的能力。包括理论力学、材料力学、热流体、电工电子学、材料科学基础等知识领域。</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lastRenderedPageBreak/>
        <w:t>1.3 专业基础类课程</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机械工程专业应包含：机械设计原理与方法，机械制造工程原理与技术，控制理论与技术，工程测试及信息处理，计算机应用技术，管理科学基础等知识领域。</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机械设计制造及其自动化专业应包含：机械设计原理与方法，机械制造工程原理与技术，机械系统中的传动与控制，计算机应用技术等知识领域。</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材料成型及控制工程专业应包含：机械设计及制造基础，材料加工冶金传输原理，材料成型原理，材料成型工艺与设备，检测技术及控制工程基础等知识领域。</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 xml:space="preserve">机械电子工程专业应包含：机械设计基础，机械制造基础，电路原理，工程电子技术，控制理论与技术，传感与检测技术，机电系统设计等知识领域。 </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过程装备与控制工程专业应包含：机械设计及制造基础，过程（化工）原理，过程设备设计，过程流体机械，过程装备控制技术与应用等知识领域。</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车辆工程专业应包含：机械设计基础，机械制造基础，控制工程基础等知识领域。此外，汽车方向还应包含汽车构造、理论、设计、电子与实验学等知识领域；轨道车辆方向</w:t>
      </w:r>
      <w:r>
        <w:rPr>
          <w:color w:val="4D4D4D"/>
          <w:sz w:val="32"/>
          <w:szCs w:val="32"/>
        </w:rPr>
        <w:lastRenderedPageBreak/>
        <w:t>还应包含轨道车辆构造、理论、设计、牵引、制动、网络等知识领域。</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汽车服务工程专业应包含：机械设计基础，机械制造基础，汽车理论、构造、电子，汽车检测与维修，汽车服务、营销、保险等知识领域。</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1.4 专业类课程</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各校可根据自身优势和特点设置课程，办出特色。</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1.5 实践环节</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1.5.1 工程训练</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学生通过系统的工程技术学习和工艺技术训练，提高工程意识、质量、安全、环保意识和动手能力。包括机械制造过程认知实习、基本制造技术训练、先进制造技术训练、机电综合技术训练等。</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 xml:space="preserve">1.5.2 实验课程 </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实验类型包括认知性实验、验证性实验、综合性实验和设计性实验等，培养学生实验设计、实施和测试分析的能力。</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1.5.3 课程设计</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lastRenderedPageBreak/>
        <w:t>主干课程应设置课程设计，培养学生的设计能力和解决问题的能力。</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1.5.4 生产实习</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 xml:space="preserve">1.5.5 科技创新活动 </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组织学生参与科学研究、开发或设计工作，培养学生的创新思维、实践能力、表达能力和团队精神。</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1.6 毕业设计（论文）</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培养学生综合运用所学知识分析和解决实际问题的能力，提高专业素质，培养创新能力。</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1.6.1 选题</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选题应符合本专业的培养目标和教学要求，以工程设计为主，源于实际工程问题的占一定比例，一人一题。</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1.6.2 指导</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lastRenderedPageBreak/>
        <w:t>应由具有丰富经验的教师或企业工程技术人员指导，支持学生到企业进行毕业设计（论文）。</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2. 师资队伍</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2.1 专业背景</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从事专业骨干课教学工作的教师，专业背景满足教学要求。</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2.2 工程背景</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具有企业或相关工程实践经验的教师占20％以上；具有从事过工程设计和研究背景的教师占30％以上；获得中、高级工程技术职称或相关专业技术资格的教师占一定比例。</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3. 支持条件</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3.1 专业资料</w:t>
      </w:r>
    </w:p>
    <w:p w:rsidR="001E0491" w:rsidRDefault="001E0491" w:rsidP="001E0491">
      <w:pPr>
        <w:pStyle w:val="a5"/>
        <w:shd w:val="clear" w:color="auto" w:fill="FFFFFF"/>
        <w:spacing w:line="402" w:lineRule="atLeast"/>
        <w:ind w:firstLine="620"/>
        <w:textAlignment w:val="top"/>
        <w:rPr>
          <w:color w:val="4D4D4D"/>
          <w:sz w:val="23"/>
          <w:szCs w:val="23"/>
        </w:rPr>
      </w:pPr>
      <w:r>
        <w:rPr>
          <w:color w:val="4D4D4D"/>
          <w:sz w:val="32"/>
          <w:szCs w:val="32"/>
        </w:rPr>
        <w:t>拥有各类图书、手册、标准、期刊及电子与网络信息资源，能满足学生专业学习和教师专业教学与科研所需。</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3.2 实践基地</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t>（1）实验室向学生开放，提供良好的实践环境。与业界有密切的联系，具有稳定的产学研合作基地为本专业学生提供良好的校外实践场所和条件。</w:t>
      </w:r>
    </w:p>
    <w:p w:rsidR="001E0491" w:rsidRDefault="001E0491" w:rsidP="001E0491">
      <w:pPr>
        <w:pStyle w:val="a5"/>
        <w:shd w:val="clear" w:color="auto" w:fill="FFFFFF"/>
        <w:spacing w:line="402" w:lineRule="atLeast"/>
        <w:ind w:firstLine="502"/>
        <w:textAlignment w:val="top"/>
        <w:rPr>
          <w:color w:val="4D4D4D"/>
          <w:sz w:val="23"/>
          <w:szCs w:val="23"/>
        </w:rPr>
      </w:pPr>
      <w:r>
        <w:rPr>
          <w:color w:val="4D4D4D"/>
          <w:sz w:val="32"/>
          <w:szCs w:val="32"/>
        </w:rPr>
        <w:lastRenderedPageBreak/>
        <w:t>（2）建有大学生科技创新活动基地，吸引学生广泛参与科技活动，提高创造性设计能力、综合设计能力和工程实践能力。</w:t>
      </w:r>
    </w:p>
    <w:p w:rsidR="009E4B5C" w:rsidRPr="001E0491" w:rsidRDefault="009E4B5C"/>
    <w:sectPr w:rsidR="009E4B5C" w:rsidRPr="001E0491" w:rsidSect="009E4B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BB" w:rsidRDefault="00DA50BB" w:rsidP="001E0491">
      <w:r>
        <w:separator/>
      </w:r>
    </w:p>
  </w:endnote>
  <w:endnote w:type="continuationSeparator" w:id="0">
    <w:p w:rsidR="00DA50BB" w:rsidRDefault="00DA50BB" w:rsidP="001E04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BB" w:rsidRDefault="00DA50BB" w:rsidP="001E0491">
      <w:r>
        <w:separator/>
      </w:r>
    </w:p>
  </w:footnote>
  <w:footnote w:type="continuationSeparator" w:id="0">
    <w:p w:rsidR="00DA50BB" w:rsidRDefault="00DA50BB" w:rsidP="001E0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491"/>
    <w:rsid w:val="000321F5"/>
    <w:rsid w:val="00032758"/>
    <w:rsid w:val="0003525E"/>
    <w:rsid w:val="00067177"/>
    <w:rsid w:val="000E4412"/>
    <w:rsid w:val="000E708A"/>
    <w:rsid w:val="00115B36"/>
    <w:rsid w:val="00130E90"/>
    <w:rsid w:val="00131D2C"/>
    <w:rsid w:val="00146BA1"/>
    <w:rsid w:val="00155BF4"/>
    <w:rsid w:val="00157E67"/>
    <w:rsid w:val="001A40D1"/>
    <w:rsid w:val="001C35FC"/>
    <w:rsid w:val="001D2A1D"/>
    <w:rsid w:val="001E0491"/>
    <w:rsid w:val="001E73D2"/>
    <w:rsid w:val="0020303F"/>
    <w:rsid w:val="00247431"/>
    <w:rsid w:val="00260FA7"/>
    <w:rsid w:val="002753F9"/>
    <w:rsid w:val="002B1A30"/>
    <w:rsid w:val="002D19C0"/>
    <w:rsid w:val="002F7137"/>
    <w:rsid w:val="00307D00"/>
    <w:rsid w:val="0031006C"/>
    <w:rsid w:val="0033201B"/>
    <w:rsid w:val="00333721"/>
    <w:rsid w:val="00360A9C"/>
    <w:rsid w:val="00367411"/>
    <w:rsid w:val="003739B3"/>
    <w:rsid w:val="00377D0A"/>
    <w:rsid w:val="00380AF1"/>
    <w:rsid w:val="003B63A2"/>
    <w:rsid w:val="003B76CF"/>
    <w:rsid w:val="003C1F44"/>
    <w:rsid w:val="003C33BF"/>
    <w:rsid w:val="003D7855"/>
    <w:rsid w:val="003F79B1"/>
    <w:rsid w:val="00420ACA"/>
    <w:rsid w:val="00484C94"/>
    <w:rsid w:val="004A2D37"/>
    <w:rsid w:val="004D1B7D"/>
    <w:rsid w:val="004D3860"/>
    <w:rsid w:val="00503546"/>
    <w:rsid w:val="00521DA3"/>
    <w:rsid w:val="005377FB"/>
    <w:rsid w:val="00542CBB"/>
    <w:rsid w:val="00552934"/>
    <w:rsid w:val="00554B21"/>
    <w:rsid w:val="005576D4"/>
    <w:rsid w:val="00594F6A"/>
    <w:rsid w:val="005978CB"/>
    <w:rsid w:val="005C3EE7"/>
    <w:rsid w:val="00644420"/>
    <w:rsid w:val="0064577D"/>
    <w:rsid w:val="00657FB4"/>
    <w:rsid w:val="00665452"/>
    <w:rsid w:val="006807A2"/>
    <w:rsid w:val="00690A07"/>
    <w:rsid w:val="006973AE"/>
    <w:rsid w:val="006A60D0"/>
    <w:rsid w:val="006B30E1"/>
    <w:rsid w:val="006D32B7"/>
    <w:rsid w:val="00701E6D"/>
    <w:rsid w:val="00742C4A"/>
    <w:rsid w:val="00757B25"/>
    <w:rsid w:val="007732D5"/>
    <w:rsid w:val="00780009"/>
    <w:rsid w:val="007A54C8"/>
    <w:rsid w:val="007A6D28"/>
    <w:rsid w:val="007E7499"/>
    <w:rsid w:val="00804A70"/>
    <w:rsid w:val="00820E72"/>
    <w:rsid w:val="0085716B"/>
    <w:rsid w:val="00883775"/>
    <w:rsid w:val="008847DC"/>
    <w:rsid w:val="008858F1"/>
    <w:rsid w:val="008D3B9B"/>
    <w:rsid w:val="008D617E"/>
    <w:rsid w:val="008E459F"/>
    <w:rsid w:val="00913C5C"/>
    <w:rsid w:val="0093651C"/>
    <w:rsid w:val="00957C54"/>
    <w:rsid w:val="0097029A"/>
    <w:rsid w:val="00977480"/>
    <w:rsid w:val="00997952"/>
    <w:rsid w:val="009B3019"/>
    <w:rsid w:val="009C0F76"/>
    <w:rsid w:val="009E1C00"/>
    <w:rsid w:val="009E4B5C"/>
    <w:rsid w:val="009F01E2"/>
    <w:rsid w:val="009F4C24"/>
    <w:rsid w:val="00A4063C"/>
    <w:rsid w:val="00A92D6F"/>
    <w:rsid w:val="00AB763A"/>
    <w:rsid w:val="00AC6876"/>
    <w:rsid w:val="00AD401F"/>
    <w:rsid w:val="00AF04BF"/>
    <w:rsid w:val="00B0442C"/>
    <w:rsid w:val="00B076FD"/>
    <w:rsid w:val="00B1459D"/>
    <w:rsid w:val="00B14719"/>
    <w:rsid w:val="00B261EC"/>
    <w:rsid w:val="00B82FDD"/>
    <w:rsid w:val="00BC7481"/>
    <w:rsid w:val="00BD3A4D"/>
    <w:rsid w:val="00BD4F3F"/>
    <w:rsid w:val="00BD5EBF"/>
    <w:rsid w:val="00C113F3"/>
    <w:rsid w:val="00C441A8"/>
    <w:rsid w:val="00C45C19"/>
    <w:rsid w:val="00C52653"/>
    <w:rsid w:val="00C5694C"/>
    <w:rsid w:val="00C75000"/>
    <w:rsid w:val="00CA03DF"/>
    <w:rsid w:val="00CC4D7E"/>
    <w:rsid w:val="00D004ED"/>
    <w:rsid w:val="00D154FB"/>
    <w:rsid w:val="00D20AFA"/>
    <w:rsid w:val="00D42F75"/>
    <w:rsid w:val="00D55890"/>
    <w:rsid w:val="00DA50BB"/>
    <w:rsid w:val="00DA73C8"/>
    <w:rsid w:val="00DB1441"/>
    <w:rsid w:val="00E23B7E"/>
    <w:rsid w:val="00E258FF"/>
    <w:rsid w:val="00E30FD2"/>
    <w:rsid w:val="00E42454"/>
    <w:rsid w:val="00E55FE5"/>
    <w:rsid w:val="00EC5451"/>
    <w:rsid w:val="00ED2652"/>
    <w:rsid w:val="00ED61F8"/>
    <w:rsid w:val="00EF3EC8"/>
    <w:rsid w:val="00F01414"/>
    <w:rsid w:val="00F056CE"/>
    <w:rsid w:val="00F27227"/>
    <w:rsid w:val="00F31304"/>
    <w:rsid w:val="00F31DD8"/>
    <w:rsid w:val="00FB700A"/>
    <w:rsid w:val="00FB72B5"/>
    <w:rsid w:val="00FD7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4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0491"/>
    <w:rPr>
      <w:sz w:val="18"/>
      <w:szCs w:val="18"/>
    </w:rPr>
  </w:style>
  <w:style w:type="paragraph" w:styleId="a4">
    <w:name w:val="footer"/>
    <w:basedOn w:val="a"/>
    <w:link w:val="Char0"/>
    <w:uiPriority w:val="99"/>
    <w:semiHidden/>
    <w:unhideWhenUsed/>
    <w:rsid w:val="001E04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0491"/>
    <w:rPr>
      <w:sz w:val="18"/>
      <w:szCs w:val="18"/>
    </w:rPr>
  </w:style>
  <w:style w:type="paragraph" w:styleId="a5">
    <w:name w:val="Normal (Web)"/>
    <w:basedOn w:val="a"/>
    <w:uiPriority w:val="99"/>
    <w:semiHidden/>
    <w:unhideWhenUsed/>
    <w:rsid w:val="001E04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1056440">
      <w:bodyDiv w:val="1"/>
      <w:marLeft w:val="0"/>
      <w:marRight w:val="0"/>
      <w:marTop w:val="0"/>
      <w:marBottom w:val="0"/>
      <w:divBdr>
        <w:top w:val="none" w:sz="0" w:space="0" w:color="auto"/>
        <w:left w:val="none" w:sz="0" w:space="0" w:color="auto"/>
        <w:bottom w:val="none" w:sz="0" w:space="0" w:color="auto"/>
        <w:right w:val="none" w:sz="0" w:space="0" w:color="auto"/>
      </w:divBdr>
      <w:divsChild>
        <w:div w:id="489323488">
          <w:marLeft w:val="0"/>
          <w:marRight w:val="0"/>
          <w:marTop w:val="0"/>
          <w:marBottom w:val="0"/>
          <w:divBdr>
            <w:top w:val="none" w:sz="0" w:space="0" w:color="auto"/>
            <w:left w:val="none" w:sz="0" w:space="0" w:color="auto"/>
            <w:bottom w:val="none" w:sz="0" w:space="0" w:color="auto"/>
            <w:right w:val="none" w:sz="0" w:space="0" w:color="auto"/>
          </w:divBdr>
          <w:divsChild>
            <w:div w:id="509608017">
              <w:marLeft w:val="0"/>
              <w:marRight w:val="0"/>
              <w:marTop w:val="201"/>
              <w:marBottom w:val="0"/>
              <w:divBdr>
                <w:top w:val="none" w:sz="0" w:space="0" w:color="auto"/>
                <w:left w:val="none" w:sz="0" w:space="0" w:color="auto"/>
                <w:bottom w:val="none" w:sz="0" w:space="0" w:color="auto"/>
                <w:right w:val="none" w:sz="0" w:space="0" w:color="auto"/>
              </w:divBdr>
              <w:divsChild>
                <w:div w:id="1753968515">
                  <w:marLeft w:val="0"/>
                  <w:marRight w:val="0"/>
                  <w:marTop w:val="0"/>
                  <w:marBottom w:val="0"/>
                  <w:divBdr>
                    <w:top w:val="none" w:sz="0" w:space="0" w:color="auto"/>
                    <w:left w:val="none" w:sz="0" w:space="0" w:color="auto"/>
                    <w:bottom w:val="none" w:sz="0" w:space="0" w:color="auto"/>
                    <w:right w:val="none" w:sz="0" w:space="0" w:color="auto"/>
                  </w:divBdr>
                  <w:divsChild>
                    <w:div w:id="350494691">
                      <w:marLeft w:val="3349"/>
                      <w:marRight w:val="0"/>
                      <w:marTop w:val="0"/>
                      <w:marBottom w:val="0"/>
                      <w:divBdr>
                        <w:top w:val="none" w:sz="0" w:space="0" w:color="auto"/>
                        <w:left w:val="none" w:sz="0" w:space="0" w:color="auto"/>
                        <w:bottom w:val="none" w:sz="0" w:space="0" w:color="auto"/>
                        <w:right w:val="none" w:sz="0" w:space="0" w:color="auto"/>
                      </w:divBdr>
                      <w:divsChild>
                        <w:div w:id="486558132">
                          <w:marLeft w:val="0"/>
                          <w:marRight w:val="0"/>
                          <w:marTop w:val="0"/>
                          <w:marBottom w:val="0"/>
                          <w:divBdr>
                            <w:top w:val="none" w:sz="0" w:space="0" w:color="auto"/>
                            <w:left w:val="none" w:sz="0" w:space="0" w:color="auto"/>
                            <w:bottom w:val="none" w:sz="0" w:space="0" w:color="auto"/>
                            <w:right w:val="none" w:sz="0" w:space="0" w:color="auto"/>
                          </w:divBdr>
                          <w:divsChild>
                            <w:div w:id="2691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Words>
  <Characters>1539</Characters>
  <Application>Microsoft Office Word</Application>
  <DocSecurity>0</DocSecurity>
  <Lines>12</Lines>
  <Paragraphs>3</Paragraphs>
  <ScaleCrop>false</ScaleCrop>
  <Company>微软中国</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USST</cp:lastModifiedBy>
  <cp:revision>2</cp:revision>
  <dcterms:created xsi:type="dcterms:W3CDTF">2015-08-14T02:00:00Z</dcterms:created>
  <dcterms:modified xsi:type="dcterms:W3CDTF">2015-08-14T02:00:00Z</dcterms:modified>
</cp:coreProperties>
</file>